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0"/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46pt;height:11pt;z-index:-1000;margin-left:0pt;margin-top:729.9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824" w:firstLine="0"/>
                    <w:spacing w:before="0" w:after="0" w:line="199" w:lineRule="auto"/>
                    <w:jc w:val="left"/>
                    <w:framePr w:hAnchor="text" w:vAnchor="text" w:y="14599" w:w="10920" w:h="220" w:hSpace="0" w:vSpace="0" w:wrap="3"/>
                    <w:rPr>
                      <w:color w:val="#000000"/>
                      <w:sz w:val="23"/>
                      <w:lang w:val="pl-PL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pl-PL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Strona 1/7</w:t>
                  </w:r>
                </w:p>
              </w:txbxContent>
            </v:textbox>
          </v:shape>
        </w:pict>
      </w:r>
      <w:r>
        <w:pict>
          <v:line strokeweight="0.7pt" strokecolor="#D8839D" from="546.45pt,34.15pt" to="546.45pt,124.5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196"/>
        <w:gridCol w:w="8724"/>
      </w:tblGrid>
      <w:tr>
        <w:trPr>
          <w:trHeight w:val="146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196" w:type="auto"/>
            <w:textDirection w:val="lrTb"/>
            <w:vAlign w:val="top"/>
          </w:tcPr>
          <w:p>
            <w:pPr>
              <w:ind w:right="0" w:left="0"/>
              <w:spacing w:before="108" w:after="5" w:line="240" w:lineRule="auto"/>
              <w:jc w:val="center"/>
            </w:pPr>
            <w:r>
              <w:drawing>
                <wp:inline>
                  <wp:extent cx="1394460" cy="85725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920" w:type="auto"/>
            <w:textDirection w:val="lrTb"/>
            <w:vAlign w:val="top"/>
          </w:tcPr>
          <w:p>
            <w:pPr>
              <w:ind w:right="686" w:left="0" w:firstLine="0"/>
              <w:spacing w:before="0" w:after="0" w:line="240" w:lineRule="auto"/>
              <w:jc w:val="right"/>
              <w:rPr>
                <w:color w:val="#000000"/>
                <w:sz w:val="36"/>
                <w:lang w:val="pl-PL"/>
                <w:spacing w:val="18"/>
                <w:w w:val="9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36"/>
                <w:lang w:val="pl-PL"/>
                <w:spacing w:val="18"/>
                <w:w w:val="90"/>
                <w:strike w:val="false"/>
                <w:vertAlign w:val="baseline"/>
                <w:rFonts w:ascii="Times New Roman" w:hAnsi="Times New Roman"/>
              </w:rPr>
              <w:t xml:space="preserve">PA</w:t>
            </w:r>
            <w:r>
              <w:rPr>
                <w:color w:val="#000000"/>
                <w:sz w:val="36"/>
                <w:lang w:val="pl-PL"/>
                <w:spacing w:val="18"/>
                <w:w w:val="90"/>
                <w:strike w:val="false"/>
                <w:vertAlign w:val="baseline"/>
                <w:rFonts w:ascii="Times New Roman" w:hAnsi="Times New Roman"/>
              </w:rPr>
              <w:t xml:space="preserve">ŃSTWOWY INSTYTUT WETERYNARYJNY</w:t>
            </w:r>
          </w:p>
          <w:p>
            <w:pPr>
              <w:ind w:right="1766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6"/>
                <w:lang w:val="pl-PL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6"/>
                <w:lang w:val="pl-PL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- PA</w:t>
            </w:r>
            <w:r>
              <w:rPr>
                <w:b w:val="true"/>
                <w:color w:val="#000000"/>
                <w:sz w:val="26"/>
                <w:lang w:val="pl-PL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ŃSTWOWY INSTYTUT BADAWCZY</w:t>
            </w:r>
            <w:r>
              <w:rPr>
                <w:b w:val="true"/>
                <w:color w:val="#000000"/>
                <w:sz w:val="26"/>
                <w:lang w:val="pl-PL"/>
                <w:spacing w:val="2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  <w:p>
            <w:pPr>
              <w:ind w:right="146" w:left="0" w:firstLine="0"/>
              <w:spacing w:before="0" w:after="0" w:line="240" w:lineRule="auto"/>
              <w:jc w:val="right"/>
              <w:rPr>
                <w:color w:val="#E9517C"/>
                <w:sz w:val="22"/>
                <w:lang w:val="pl-PL"/>
                <w:spacing w:val="2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E9517C"/>
                <w:sz w:val="22"/>
                <w:lang w:val="pl-PL"/>
                <w:spacing w:val="20"/>
                <w:w w:val="100"/>
                <w:strike w:val="false"/>
                <w:vertAlign w:val="baseline"/>
                <w:rFonts w:ascii="Times New Roman" w:hAnsi="Times New Roman"/>
              </w:rPr>
              <w:t xml:space="preserve">liKZ,V) </w:t>
            </w:r>
            <w:r>
              <w:rPr>
                <w:color w:val="#E9517C"/>
                <w:sz w:val="27"/>
                <w:lang w:val="pl-PL"/>
                <w:spacing w:val="30"/>
                <w:w w:val="60"/>
                <w:strike w:val="false"/>
                <w:vertAlign w:val="baseline"/>
                <w:rFonts w:ascii="Times New Roman" w:hAnsi="Times New Roman"/>
              </w:rPr>
              <w:t xml:space="preserve">GMINY W CEWACH</w:t>
            </w:r>
          </w:p>
        </w:tc>
      </w:tr>
    </w:tbl>
    <w:p>
      <w:pPr>
        <w:spacing w:before="0" w:after="88" w:line="20" w:lineRule="exact"/>
      </w:pPr>
    </w:p>
    <w:p>
      <w:pPr>
        <w:ind w:right="0" w:left="0" w:firstLine="0"/>
        <w:spacing w:before="0" w:after="0" w:line="285" w:lineRule="auto"/>
        <w:jc w:val="center"/>
        <w:rPr>
          <w:b w:val="true"/>
          <w:color w:val="#000000"/>
          <w:sz w:val="22"/>
          <w:lang w:val="pl-PL"/>
          <w:spacing w:val="-2"/>
          <w:w w:val="105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yle="position:absolute;width:546pt;height:50.6pt;z-index:-999;margin-left:25.1pt;margin-top:12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6811010</wp:posOffset>
            </wp:positionH>
            <wp:positionV relativeFrom="page">
              <wp:posOffset>1783715</wp:posOffset>
            </wp:positionV>
            <wp:extent cx="436245" cy="306705"/>
            <wp:wrapThrough wrapText="bothSides">
              <wp:wrapPolygon>
                <wp:start x="785" y="0"/>
                <wp:lineTo x="785" y="6313"/>
                <wp:lineTo x="0" y="6313"/>
                <wp:lineTo x="0" y="21626"/>
                <wp:lineTo x="21581" y="21626"/>
                <wp:lineTo x="21581" y="0"/>
                <wp:lineTo x="785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118.45pt;height:24.65pt;z-index:-997;margin-left:419.1pt;margin-top:124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216" w:after="0" w:line="189" w:lineRule="auto"/>
                    <w:jc w:val="right"/>
                    <w:framePr w:hAnchor="page" w:vAnchor="page" w:x="8382" w:y="2489" w:w="2369" w:h="493" w:hSpace="0" w:vSpace="0" w:wrap="3"/>
                    <w:rPr>
                      <w:color w:val="#E9517C"/>
                      <w:sz w:val="22"/>
                      <w:lang w:val="pl-PL"/>
                      <w:spacing w:val="2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E9517C"/>
                      <w:sz w:val="22"/>
                      <w:lang w:val="pl-PL"/>
                      <w:spacing w:val="2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WP</w:t>
                  </w:r>
                  <w:r>
                    <w:rPr>
                      <w:color w:val="#E9517C"/>
                      <w:sz w:val="22"/>
                      <w:lang w:val="pl-PL"/>
                      <w:spacing w:val="2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ŁYNĘŁO</w:t>
                  </w:r>
                  <w:r>
                    <w:rPr>
                      <w:color w:val="#F55C84"/>
                      <w:sz w:val="22"/>
                      <w:lang w:val="pl-PL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 ON</w:t>
                  </w:r>
                  <w:r>
                    <w:rPr>
                      <w:color w:val="#E9517C"/>
                      <w:sz w:val="32"/>
                      <w:lang w:val="pl-PL"/>
                      <w:spacing w:val="4"/>
                      <w:w w:val="130"/>
                      <w:strike w:val="false"/>
                      <w:vertAlign w:val="baseline"/>
                      <w:rFonts w:ascii="Times New Roman" w:hAnsi="Times New Roman"/>
                    </w:rPr>
                    <w:t xml:space="preserve">i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94.5pt;height:20.75pt;z-index:-996;margin-left:419.1pt;margin-top:14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08" w:line="292" w:lineRule="auto"/>
                    <w:jc w:val="left"/>
                    <w:framePr w:hAnchor="page" w:vAnchor="page" w:x="8382" w:y="2982" w:w="1890" w:h="415" w:hSpace="0" w:vSpace="0" w:wrap="3"/>
                    <w:tabs>
                      <w:tab w:val="right" w:leader="dot" w:pos="1886"/>
                    </w:tabs>
                    <w:rPr>
                      <w:color w:val="#E9517C"/>
                      <w:sz w:val="15"/>
                      <w:lang w:val="pl-PL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E9517C"/>
                      <w:sz w:val="15"/>
                      <w:lang w:val="pl-PL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</w:t>
                  </w:r>
                  <w:r>
                    <w:rPr>
                      <w:color w:val="#E9517C"/>
                      <w:sz w:val="15"/>
                      <w:lang w:val="pl-PL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ż.	</w:t>
                  </w:r>
                  <w:r>
                    <w:rPr>
                      <w:color w:val="#E9517C"/>
                      <w:sz w:val="15"/>
                      <w:lang w:val="pl-PL"/>
                      <w:spacing w:val="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podpis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152pt;height:4.3pt;z-index:-995;margin-left:419.1pt;margin-top:12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504" w:left="0" w:firstLine="0"/>
                    <w:spacing w:before="0" w:after="0" w:line="180" w:lineRule="auto"/>
                    <w:jc w:val="right"/>
                    <w:framePr w:hAnchor="page" w:vAnchor="page" w:x="8382" w:y="2403" w:w="3040" w:h="86" w:hSpace="0" w:vSpace="0" w:wrap="3"/>
                    <w:rPr>
                      <w:color w:val="#000000"/>
                      <w:sz w:val="10"/>
                      <w:lang w:val="pl-PL"/>
                      <w:spacing w:val="0"/>
                      <w:w w:val="14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0"/>
                      <w:lang w:val="pl-PL"/>
                      <w:spacing w:val="0"/>
                      <w:w w:val="145"/>
                      <w:strike w:val="false"/>
                      <w:vertAlign w:val="baseline"/>
                      <w:rFonts w:ascii="Arial" w:hAnsi="Arial"/>
                    </w:rPr>
                    <w:t xml:space="preserve">r.</w:t>
                  </w:r>
                </w:p>
              </w:txbxContent>
            </v:textbox>
          </v:shape>
        </w:pict>
      </w:r>
      <w:r>
        <w:pict>
          <v:line strokeweight="1.1pt" strokecolor="#000000" from="414.6pt,128.4pt" to="414.6pt,158.85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2"/>
          <w:lang w:val="pl-PL"/>
          <w:spacing w:val="-2"/>
          <w:w w:val="105"/>
          <w:strike w:val="false"/>
          <w:vertAlign w:val="baseline"/>
          <w:rFonts w:ascii="Times New Roman" w:hAnsi="Times New Roman"/>
        </w:rPr>
        <w:t xml:space="preserve">Aktualna sytuacja oraz ocena ryzyka dla drobiu i zdrowia cz</w:t>
        <w:br/>
      </w:r>
      <w:r>
        <w:rPr>
          <w:b w:val="true"/>
          <w:color w:val="#000000"/>
          <w:sz w:val="22"/>
          <w:lang w:val="pl-PL"/>
          <w:spacing w:val="-2"/>
          <w:w w:val="105"/>
          <w:strike w:val="false"/>
          <w:vertAlign w:val="baseline"/>
          <w:rFonts w:ascii="Times New Roman" w:hAnsi="Times New Roman"/>
        </w:rPr>
        <w:t xml:space="preserve">łowieka związana
</w:t>
        <w:br/>
      </w:r>
      <w:r>
        <w:rPr>
          <w:b w:val="true"/>
          <w:color w:val="#000000"/>
          <w:sz w:val="22"/>
          <w:lang w:val="pl-PL"/>
          <w:spacing w:val="-2"/>
          <w:w w:val="105"/>
          <w:strike w:val="false"/>
          <w:vertAlign w:val="baseline"/>
          <w:rFonts w:ascii="Times New Roman" w:hAnsi="Times New Roman"/>
        </w:rPr>
        <w:t xml:space="preserve">z występowaniem w Europie wirusów wysoce zjadliwej grypy ptaków (HPAI)
</w:t>
        <w:br/>
      </w:r>
      <w:r>
        <w:rPr>
          <w:b w:val="true"/>
          <w:color w:val="#000000"/>
          <w:sz w:val="22"/>
          <w:lang w:val="pl-PL"/>
          <w:spacing w:val="0"/>
          <w:w w:val="105"/>
          <w:strike w:val="false"/>
          <w:vertAlign w:val="baseline"/>
          <w:rFonts w:ascii="Times New Roman" w:hAnsi="Times New Roman"/>
        </w:rPr>
        <w:t xml:space="preserve">podtypu H5Nx.</w:t>
      </w:r>
    </w:p>
    <w:p>
      <w:pPr>
        <w:ind w:right="1296" w:left="936" w:firstLine="648"/>
        <w:spacing w:before="540" w:after="0" w:line="271" w:lineRule="auto"/>
        <w:jc w:val="both"/>
        <w:rPr>
          <w:color w:val="#000000"/>
          <w:sz w:val="23"/>
          <w:lang w:val="pl-PL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-6"/>
          <w:w w:val="100"/>
          <w:strike w:val="false"/>
          <w:vertAlign w:val="baseline"/>
          <w:rFonts w:ascii="Times New Roman" w:hAnsi="Times New Roman"/>
        </w:rPr>
        <w:t xml:space="preserve">Grypa ptaków jest wirusow</w:t>
      </w:r>
      <w:r>
        <w:rPr>
          <w:color w:val="#000000"/>
          <w:sz w:val="23"/>
          <w:lang w:val="pl-PL"/>
          <w:spacing w:val="-6"/>
          <w:w w:val="100"/>
          <w:strike w:val="false"/>
          <w:vertAlign w:val="baseline"/>
          <w:rFonts w:ascii="Times New Roman" w:hAnsi="Times New Roman"/>
        </w:rPr>
        <w:t xml:space="preserve">ą chorobą drobiu o bardzo dużym znaczeniu ekonomicznym. </w:t>
      </w:r>
      <w:r>
        <w:rPr>
          <w:color w:val="#000000"/>
          <w:sz w:val="23"/>
          <w:lang w:val="pl-PL"/>
          <w:spacing w:val="6"/>
          <w:w w:val="100"/>
          <w:strike w:val="false"/>
          <w:vertAlign w:val="baseline"/>
          <w:rFonts w:ascii="Times New Roman" w:hAnsi="Times New Roman"/>
        </w:rPr>
        <w:t xml:space="preserve">Wywoływane przez nią straty wynikają nie tylko z faktu, że wirus może wywoływać 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zachorowania i bardzo wysoką śmiertelność u ptactwa domowego. Kraj, w którym pojawi się </w:t>
      </w:r>
      <w:r>
        <w:rPr>
          <w:color w:val="#000000"/>
          <w:sz w:val="23"/>
          <w:lang w:val="pl-PL"/>
          <w:spacing w:val="5"/>
          <w:w w:val="100"/>
          <w:strike w:val="false"/>
          <w:vertAlign w:val="baseline"/>
          <w:rFonts w:ascii="Times New Roman" w:hAnsi="Times New Roman"/>
        </w:rPr>
        <w:t xml:space="preserve">choćby jedno ognisko grypy, nie może eksportować drobiu i produktów pochodzenia </w:t>
      </w:r>
      <w:r>
        <w:rPr>
          <w:color w:val="#000000"/>
          <w:sz w:val="23"/>
          <w:lang w:val="pl-PL"/>
          <w:spacing w:val="7"/>
          <w:w w:val="100"/>
          <w:strike w:val="false"/>
          <w:vertAlign w:val="baseline"/>
          <w:rFonts w:ascii="Times New Roman" w:hAnsi="Times New Roman"/>
        </w:rPr>
        <w:t xml:space="preserve">drobiarskiego co najmniej z regionu, w którym choroba się pojawiła, niestety również, w zależności od umów bilateralnych (świadectwo zdrowia), z obszaru całego państwa, </w:t>
      </w:r>
      <w:r>
        <w:rPr>
          <w:color w:val="#000000"/>
          <w:sz w:val="23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co generuje bardzo wymierne straty finansowe. Grypa może występować u wszystkich gatunków </w:t>
      </w:r>
      <w:r>
        <w:rPr>
          <w:color w:val="#000000"/>
          <w:sz w:val="23"/>
          <w:lang w:val="pl-PL"/>
          <w:spacing w:val="-4"/>
          <w:w w:val="100"/>
          <w:strike w:val="false"/>
          <w:vertAlign w:val="baseline"/>
          <w:rFonts w:ascii="Times New Roman" w:hAnsi="Times New Roman"/>
        </w:rPr>
        <w:t xml:space="preserve">drobiu i wielu gatunków dzikich ptaków. Niekiedy zakażeniu może ulec też człowiek, ale są to </w:t>
      </w:r>
      <w:r>
        <w:rPr>
          <w:color w:val="#000000"/>
          <w:sz w:val="23"/>
          <w:lang w:val="pl-PL"/>
          <w:spacing w:val="26"/>
          <w:w w:val="100"/>
          <w:strike w:val="false"/>
          <w:vertAlign w:val="baseline"/>
          <w:rFonts w:ascii="Times New Roman" w:hAnsi="Times New Roman"/>
        </w:rPr>
        <w:t xml:space="preserve">sytuacje bardzo rzadkie i w dotychczasowej praktyce ograniczone do Azji </w:t>
      </w:r>
      <w:r>
        <w:rPr>
          <w:color w:val="#000000"/>
          <w:sz w:val="23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i Afryki. Jednak, jak dotychczas nie stwierdzono na świecie ani jednego przypadku zakażenia 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wirusem HPAI/H5N8 u człowieka. Cyklicznie przeprowadzane, w Państwowym Instytucie </w:t>
      </w: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Weterynaryjnym — PIB w Puławach, badania genetyczne wirusa H5N8, po każdorazowej 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introdukcji wirusa na terytorium Polski, nad tzw. molekularnymi wskaźnikami adaptacji do </w:t>
      </w:r>
      <w:r>
        <w:rPr>
          <w:color w:val="#000000"/>
          <w:sz w:val="23"/>
          <w:lang w:val="pl-PL"/>
          <w:spacing w:val="-4"/>
          <w:w w:val="100"/>
          <w:strike w:val="false"/>
          <w:vertAlign w:val="baseline"/>
          <w:rFonts w:ascii="Times New Roman" w:hAnsi="Times New Roman"/>
        </w:rPr>
        <w:t xml:space="preserve">organizmu ludzi wykazały typowy profil charakterystyczny dla wirusów ptasich i brak głównych 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cech przystosowawczych do organizmu człowieka.</w:t>
      </w:r>
    </w:p>
    <w:p>
      <w:pPr>
        <w:ind w:right="1296" w:left="936" w:firstLine="648"/>
        <w:spacing w:before="36" w:after="0" w:line="276" w:lineRule="auto"/>
        <w:jc w:val="left"/>
        <w:rPr>
          <w:color w:val="#000000"/>
          <w:sz w:val="23"/>
          <w:lang w:val="pl-PL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Wyró</w:t>
      </w:r>
      <w:r>
        <w:rPr>
          <w:color w:val="#000000"/>
          <w:sz w:val="23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żnia się wiele odmian wirusa grypy, które oznaczane są symbolami, takimi jak np. </w:t>
      </w:r>
      <w:r>
        <w:rPr>
          <w:color w:val="#000000"/>
          <w:sz w:val="23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H5N1 czy H5N8.</w:t>
      </w:r>
    </w:p>
    <w:p>
      <w:pPr>
        <w:ind w:right="1296" w:left="936" w:firstLine="648"/>
        <w:spacing w:before="0" w:after="0" w:line="276" w:lineRule="auto"/>
        <w:jc w:val="both"/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Wirusy grypy charakteryzuj</w:t>
      </w: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ą się dużym stopniem zmienności genetycznej / skłonnością </w:t>
      </w:r>
      <w:r>
        <w:rPr>
          <w:color w:val="#000000"/>
          <w:sz w:val="23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do mutacji, a to sprawia, że skuteczność szczepionek jest bardzo ograniczona, nie opracowano 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również skutecznych leków.</w:t>
      </w:r>
    </w:p>
    <w:p>
      <w:pPr>
        <w:ind w:right="0" w:left="1584" w:firstLine="0"/>
        <w:spacing w:before="288" w:after="0" w:line="240" w:lineRule="auto"/>
        <w:jc w:val="left"/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Dlatego, jak na razie jedyn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ą efektywną bronią w walce z grypą ptaków jest:</w:t>
      </w:r>
    </w:p>
    <w:p>
      <w:pPr>
        <w:ind w:right="0" w:left="1296" w:firstLine="0"/>
        <w:spacing w:before="36" w:after="0" w:line="240" w:lineRule="auto"/>
        <w:jc w:val="left"/>
        <w:tabs>
          <w:tab w:val="clear" w:pos="360"/>
          <w:tab w:val="decimal" w:pos="1656"/>
        </w:tabs>
        <w:numPr>
          <w:ilvl w:val="0"/>
          <w:numId w:val="2"/>
        </w:numPr>
        <w:rPr>
          <w:color w:val="#000000"/>
          <w:sz w:val="23"/>
          <w:lang w:val="pl-PL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5"/>
          <w:w w:val="100"/>
          <w:strike w:val="false"/>
          <w:vertAlign w:val="baseline"/>
          <w:rFonts w:ascii="Times New Roman" w:hAnsi="Times New Roman"/>
        </w:rPr>
        <w:t xml:space="preserve">szybkie rozpoznanie choroby w laboratorium,</w:t>
      </w:r>
    </w:p>
    <w:p>
      <w:pPr>
        <w:ind w:right="0" w:left="1296" w:firstLine="0"/>
        <w:spacing w:before="0" w:after="0" w:line="240" w:lineRule="auto"/>
        <w:jc w:val="left"/>
        <w:tabs>
          <w:tab w:val="clear" w:pos="360"/>
          <w:tab w:val="decimal" w:pos="1656"/>
        </w:tabs>
        <w:numPr>
          <w:ilvl w:val="0"/>
          <w:numId w:val="2"/>
        </w:numPr>
        <w:rPr>
          <w:color w:val="#000000"/>
          <w:sz w:val="23"/>
          <w:lang w:val="pl-PL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5"/>
          <w:w w:val="100"/>
          <w:strike w:val="false"/>
          <w:vertAlign w:val="baseline"/>
          <w:rFonts w:ascii="Times New Roman" w:hAnsi="Times New Roman"/>
        </w:rPr>
        <w:t xml:space="preserve">skuteczna likwidacja ptaków w ognisku oraz</w:t>
      </w:r>
    </w:p>
    <w:p>
      <w:pPr>
        <w:ind w:right="1296" w:left="1656" w:firstLine="-360"/>
        <w:spacing w:before="36" w:after="0" w:line="264" w:lineRule="auto"/>
        <w:jc w:val="left"/>
        <w:tabs>
          <w:tab w:val="clear" w:pos="360"/>
          <w:tab w:val="decimal" w:pos="1656"/>
        </w:tabs>
        <w:numPr>
          <w:ilvl w:val="0"/>
          <w:numId w:val="2"/>
        </w:numP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wprowadzenie tymczasowych restrykcji na obszarze wyst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ępowania grypy, aby zapobiec jej dalszemu rozprzestrzenieniu (zgodnie z decyzją PLW).</w:t>
      </w:r>
    </w:p>
    <w:p>
      <w:pPr>
        <w:ind w:right="1296" w:left="936" w:firstLine="0"/>
        <w:spacing w:before="252" w:after="108" w:line="273" w:lineRule="auto"/>
        <w:jc w:val="both"/>
        <w:rPr>
          <w:color w:val="#000000"/>
          <w:sz w:val="23"/>
          <w:lang w:val="pl-PL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pl-PL"/>
          <w:spacing w:val="4"/>
          <w:w w:val="100"/>
          <w:strike w:val="false"/>
          <w:vertAlign w:val="baseline"/>
          <w:rFonts w:ascii="Times New Roman" w:hAnsi="Times New Roman"/>
        </w:rPr>
        <w:t xml:space="preserve">Poza szybkim tempem zmienno</w:t>
      </w:r>
      <w:r>
        <w:rPr>
          <w:color w:val="#000000"/>
          <w:sz w:val="23"/>
          <w:lang w:val="pl-PL"/>
          <w:spacing w:val="4"/>
          <w:w w:val="100"/>
          <w:strike w:val="false"/>
          <w:vertAlign w:val="baseline"/>
          <w:rFonts w:ascii="Times New Roman" w:hAnsi="Times New Roman"/>
        </w:rPr>
        <w:t xml:space="preserve">ści genetycznej / mutacji, wirus posiada szereg innych </w:t>
      </w:r>
      <w:r>
        <w:rPr>
          <w:color w:val="#000000"/>
          <w:sz w:val="23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niekorzystnych cech. Na przykład długo przeżywa w niskich temperaturach: w temperaturze </w:t>
      </w: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+4°C (temperatura lodówki) ponad 2 miesiące, a w zamrożeniu wiele miesięcy, a nawet lat. </w:t>
      </w:r>
      <w:r>
        <w:rPr>
          <w:color w:val="#000000"/>
          <w:sz w:val="23"/>
          <w:lang w:val="pl-PL"/>
          <w:spacing w:val="1"/>
          <w:w w:val="100"/>
          <w:strike w:val="false"/>
          <w:vertAlign w:val="baseline"/>
          <w:rFonts w:ascii="Times New Roman" w:hAnsi="Times New Roman"/>
        </w:rPr>
        <w:t xml:space="preserve">Dlatego też mylny, choć bardzo rozpowszechniony, jest pogląd, że „zima wymrozi" wirusy</w:t>
      </w:r>
    </w:p>
    <w:p>
      <w:pPr>
        <w:spacing w:before="0" w:after="0" w:line="0"/>
      </w:pPr>
      <w:r>
        <w:pict>
          <v:line strokeweight="0.55pt" strokecolor="#646464" from="394.2pt,0.35pt" to="515.9pt,0.3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676767" from="9.7pt,0.5pt" to="86.45pt,0.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333333" from="234.5pt,0.5pt" to="385.05pt,0.5pt" style="position:absolute;mso-position-horizontal-relative:text;mso-position-vertical-relative:text;">
            <v:stroke dashstyle="solid"/>
          </v:line>
        </w:pict>
      </w:r>
      <w:r>
        <w:pict>
          <v:line strokeweight="0.2pt" strokecolor="#727272" from="109.4pt,0.5pt" to="218.9pt,0.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563"/>
        <w:gridCol w:w="1094"/>
        <w:gridCol w:w="1357"/>
        <w:gridCol w:w="1156"/>
        <w:gridCol w:w="1001"/>
        <w:gridCol w:w="3749"/>
      </w:tblGrid>
      <w:tr>
        <w:trPr>
          <w:trHeight w:val="255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2563" w:type="auto"/>
            <w:textDirection w:val="lrTb"/>
            <w:vAlign w:val="top"/>
            <w:vMerge w:val="restart"/>
          </w:tcPr>
          <w:p>
            <w:pPr>
              <w:ind w:right="0" w:left="216" w:firstLine="0"/>
              <w:spacing w:before="36" w:after="0" w:line="240" w:lineRule="auto"/>
              <w:jc w:val="left"/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al. Partyzan</w:t>
            </w:r>
            <w:r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łów 57</w:t>
            </w:r>
          </w:p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24-100 Pu</w:t>
            </w:r>
            <w:r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ławy</w:t>
            </w:r>
          </w:p>
          <w:p>
            <w:pPr>
              <w:ind w:right="0" w:left="216" w:firstLine="0"/>
              <w:spacing w:before="0" w:after="0" w:line="196" w:lineRule="auto"/>
              <w:jc w:val="left"/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tel. +48 81 889 32 65</w:t>
            </w:r>
          </w:p>
          <w:p>
            <w:pPr>
              <w:ind w:right="504" w:left="216" w:firstLine="0"/>
              <w:spacing w:before="0" w:after="0" w:line="240" w:lineRule="auto"/>
              <w:jc w:val="left"/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faks +48 81 887 71 00 </w:t>
            </w:r>
            <w:hyperlink r:id="drId6">
              <w:r>
                <w:rPr>
                  <w:color w:val="#0000FF"/>
                  <w:sz w:val="15"/>
                  <w:lang w:val="pl-PL"/>
                  <w:spacing w:val="-15"/>
                  <w:w w:val="100"/>
                  <w:strike w:val="false"/>
                  <w:u w:val="single"/>
                  <w:vertAlign w:val="baseline"/>
                  <w:rFonts w:ascii="Verdana" w:hAnsi="Verdana"/>
                </w:rPr>
                <w:t xml:space="preserve">sekretariat@piwet.pulawy.pl</w:t>
              </w:r>
            </w:hyperlink>
            <w:r>
              <w:rPr>
                <w:color w:val="#000000"/>
                <w:sz w:val="15"/>
                <w:lang w:val="pl-PL"/>
                <w:spacing w:val="-15"/>
                <w:w w:val="100"/>
                <w:strike w:val="false"/>
                <w:vertAlign w:val="baseline"/>
                <w:rFonts w:ascii="Verdana" w:hAnsi="Verdana"/>
              </w:rPr>
              <w:t xml:space="preserve"> </w:t>
            </w:r>
            <w:hyperlink r:id="drId7">
              <w:r>
                <w:rPr>
                  <w:color w:val="#0000FF"/>
                  <w:sz w:val="15"/>
                  <w:lang w:val="pl-PL"/>
                  <w:spacing w:val="-13"/>
                  <w:w w:val="100"/>
                  <w:strike w:val="false"/>
                  <w:u w:val="single"/>
                  <w:vertAlign w:val="baseline"/>
                  <w:rFonts w:ascii="Verdana" w:hAnsi="Verdana"/>
                </w:rPr>
                <w:t xml:space="preserve">http://www.plwet.pulawy.pl</w:t>
              </w:r>
            </w:hyperlink>
            <w:r>
              <w:rPr>
                <w:color w:val="#000000"/>
                <w:sz w:val="15"/>
                <w:lang w:val="pl-PL"/>
                <w:spacing w:val="-13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3657" w:type="auto"/>
            <w:textDirection w:val="lrTb"/>
            <w:vAlign w:val="top"/>
            <w:vMerge w:val="restart"/>
          </w:tcPr>
          <w:p>
            <w:pPr>
              <w:ind w:right="0" w:left="0"/>
              <w:spacing w:before="72" w:after="2" w:line="240" w:lineRule="auto"/>
              <w:jc w:val="center"/>
            </w:pPr>
            <w:r>
              <w:drawing>
                <wp:inline>
                  <wp:extent cx="694690" cy="676910"/>
                  <wp:docPr id="5" name="pic"/>
                  <a:graphic>
                    <a:graphicData uri="http://schemas.openxmlformats.org/drawingml/2006/picture">
                      <pic:pic>
                        <pic:nvPicPr>
                          <pic:cNvPr id="6" name="test1"/>
                          <pic:cNvPicPr preferRelativeResize="false"/>
                        </pic:nvPicPr>
                        <pic:blipFill>
                          <a:blip r:embed="d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01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17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0920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3"/>
                <w:lang w:val="pl-PL"/>
                <w:spacing w:val="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pl-PL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OIE Reference Laboratory for
</w:t>
              <w:br/>
            </w:r>
            <w:r>
              <w:rPr>
                <w:color w:val="#000000"/>
                <w:sz w:val="13"/>
                <w:lang w:val="pl-PL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Classical swine fever
</w:t>
              <w:br/>
            </w:r>
            <w:r>
              <w:rPr>
                <w:color w:val="#000000"/>
                <w:sz w:val="13"/>
                <w:lang w:val="pl-PL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Enzootic bovine leucosis
</w:t>
              <w:br/>
            </w:r>
            <w:r>
              <w:rPr>
                <w:color w:val="#000000"/>
                <w:sz w:val="13"/>
                <w:lang w:val="pl-PL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Porcine reproductive and respiratory syndrorne
</w:t>
              <w:br/>
            </w:r>
            <w:r>
              <w:rPr>
                <w:color w:val="#000000"/>
                <w:sz w:val="13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Q fever</w:t>
            </w:r>
          </w:p>
        </w:tc>
      </w:tr>
      <w:tr>
        <w:trPr>
          <w:trHeight w:val="38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563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365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10" w:color="#1D1D1D"/>
            </w:tcBorders>
            <w:tcW w:w="501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10" w:color="#1D1D1D"/>
              <w:right w:val="none" w:sz="0" w:color="#000000"/>
            </w:tcBorders>
            <w:tcW w:w="617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7171" w:type="auto"/>
            <w:textDirection w:val="lrTb"/>
            <w:vAlign w:val="top"/>
            <w:vMerge w:val="restart"/>
          </w:tcPr>
          <w:p>
            <w:pPr>
              <w:ind w:right="0" w:left="0"/>
              <w:spacing w:before="0" w:after="288" w:line="240" w:lineRule="auto"/>
              <w:jc w:val="center"/>
            </w:pPr>
            <w:r>
              <w:drawing>
                <wp:inline>
                  <wp:extent cx="635635" cy="351790"/>
                  <wp:docPr id="7" name="pic"/>
                  <a:graphic>
                    <a:graphicData uri="http://schemas.openxmlformats.org/drawingml/2006/picture">
                      <pic:pic>
                        <pic:nvPicPr>
                          <pic:cNvPr id="8" name="test1"/>
                          <pic:cNvPicPr preferRelativeResize="false"/>
                        </pic:nvPicPr>
                        <pic:blipFill>
                          <a:blip r:embed="d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0920" w:type="auto"/>
            <w:textDirection w:val="lrTb"/>
            <w:vAlign w:val="center"/>
            <w:vMerge w:val="continue"/>
          </w:tcPr>
          <w:p/>
        </w:tc>
      </w:tr>
      <w:tr>
        <w:trPr>
          <w:trHeight w:val="518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2563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3657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170" w:type="auto"/>
            <w:textDirection w:val="lrTb"/>
            <w:vAlign w:val="bottom"/>
          </w:tcPr>
          <w:p>
            <w:pPr>
              <w:ind w:right="0" w:left="0" w:firstLine="0"/>
              <w:spacing w:before="288" w:after="0" w:line="240" w:lineRule="auto"/>
              <w:jc w:val="center"/>
              <w:rPr>
                <w:color w:val="#000000"/>
                <w:sz w:val="10"/>
                <w:lang w:val="pl-PL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0"/>
                <w:lang w:val="pl-PL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General European OIVICL Network</w:t>
            </w:r>
          </w:p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10920" w:type="auto"/>
            <w:textDirection w:val="lrTb"/>
            <w:vAlign w:val="center"/>
            <w:vMerge w:val="continue"/>
          </w:tcPr>
          <w:p/>
        </w:tc>
      </w:tr>
    </w:tbl>
    <w:sectPr>
      <w:pgSz w:w="11918" w:h="16854" w:orient="portrait"/>
      <w:type w:val="nextPage"/>
      <w:textDirection w:val="lrTb"/>
      <w:pgMar w:bottom="1095" w:top="830" w:right="436" w:left="50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pl-PL"/>
        <w:spacing w:val="5"/>
        <w:w w:val="100"/>
        <w:strike w:val="false"/>
        <w:vertAlign w:val="baseline"/>
        <w:rFonts w:ascii="Symbol" w:hAnsi="Symbo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numbering" Target="/word/numbering.xml" Id="drId5" /><Relationship Type="http://schemas.openxmlformats.org/officeDocument/2006/relationships/hyperlink" Target="mailto:sekretariat@piwet.pulawy.pl" TargetMode="External" Id="drId6" /><Relationship Type="http://schemas.openxmlformats.org/officeDocument/2006/relationships/hyperlink" Target="http://www.plwet.pulawy.pl" TargetMode="External" Id="drId7" /><Relationship Type="http://schemas.openxmlformats.org/officeDocument/2006/relationships/image" Target="/word/media/image3.png" Id="drId8" /><Relationship Type="http://schemas.openxmlformats.org/officeDocument/2006/relationships/image" Target="/word/media/image4.png" Id="drId9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